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Style w:val="11"/>
        </w:rPr>
      </w:pPr>
    </w:p>
    <w:tbl>
      <w:tblPr>
        <w:tblW w:w="4346" w:type="dxa"/>
        <w:tblInd w:w="55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99"/>
        <w:gridCol w:w="3000"/>
        <w:gridCol w:w="447"/>
      </w:tblGrid>
      <w:tr>
        <w:tc>
          <w:tcPr>
            <w:tcW w:w="899" w:type="dxa"/>
            <w:vAlign w:val="top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0" w:type="dxa"/>
            <w:vAlign w:val="top"/>
          </w:tcPr>
          <w:p>
            <w:pPr>
              <w:jc w:val="center"/>
            </w:pPr>
            <w:r>
              <w:rPr>
                <w:rStyle w:val="12"/>
                <w:rFonts w:hint="default"/>
                <w:b/>
                <w:bCs/>
              </w:rPr>
              <w:t>统一社会信用代码</w:t>
            </w:r>
          </w:p>
        </w:tc>
        <w:tc>
          <w:tcPr>
            <w:tcW w:w="447" w:type="dxa"/>
            <w:vAlign w:val="top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c>
          <w:tcPr>
            <w:tcW w:w="899" w:type="dxa"/>
            <w:vAlign w:val="top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0" w:type="dxa"/>
            <w:vAlign w:val="top"/>
          </w:tcPr>
          <w:p>
            <w:pPr>
              <w:jc w:val="center"/>
            </w:pPr>
            <w:r>
              <w:rPr>
                <w:rStyle w:val="12"/>
                <w:rFonts w:hint="default"/>
                <w:b/>
                <w:bCs/>
              </w:rPr>
              <w:t>12620104438120322Q</w:t>
            </w:r>
          </w:p>
        </w:tc>
        <w:tc>
          <w:tcPr>
            <w:tcW w:w="447" w:type="dxa"/>
            <w:vAlign w:val="top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center"/>
      </w:pPr>
      <w:r>
        <w:rPr>
          <w:rStyle w:val="13"/>
          <w:rFonts w:hint="default"/>
          <w:b/>
          <w:bCs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</w:rPr>
      </w:pPr>
    </w:p>
    <w:tbl>
      <w:tblPr>
        <w:tblW w:w="3848" w:type="dxa"/>
        <w:jc w:val="center"/>
        <w:tblInd w:w="55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94"/>
        <w:gridCol w:w="1814"/>
        <w:gridCol w:w="1440"/>
      </w:tblGrid>
      <w:tr>
        <w:trPr>
          <w:jc w:val="center"/>
        </w:trPr>
        <w:tc>
          <w:tcPr>
            <w:tcW w:w="594" w:type="dxa"/>
            <w:vAlign w:val="top"/>
          </w:tcPr>
          <w:p>
            <w:pPr>
              <w:jc w:val="center"/>
            </w:pPr>
            <w:r>
              <w:rPr>
                <w:rStyle w:val="12"/>
                <w:rFonts w:hint="default"/>
                <w:b/>
                <w:bCs/>
              </w:rPr>
              <w:t>（</w:t>
            </w:r>
          </w:p>
        </w:tc>
        <w:tc>
          <w:tcPr>
            <w:tcW w:w="1814" w:type="dxa"/>
            <w:vAlign w:val="top"/>
          </w:tcPr>
          <w:p>
            <w:pPr>
              <w:jc w:val="center"/>
            </w:pPr>
            <w:r>
              <w:rPr>
                <w:rStyle w:val="12"/>
                <w:rFonts w:hint="default"/>
                <w:b/>
                <w:bCs/>
              </w:rPr>
              <w:t>2016</w:t>
            </w:r>
          </w:p>
        </w:tc>
        <w:tc>
          <w:tcPr>
            <w:tcW w:w="1440" w:type="dxa"/>
            <w:vAlign w:val="top"/>
          </w:tcPr>
          <w:p>
            <w:pPr>
              <w:jc w:val="center"/>
            </w:pPr>
            <w:r>
              <w:rPr>
                <w:rStyle w:val="12"/>
                <w:rFonts w:hint="default"/>
                <w:b/>
                <w:bCs/>
              </w:rPr>
              <w:t>）年度</w:t>
            </w:r>
          </w:p>
        </w:tc>
      </w:tr>
    </w:tbl>
    <w:p>
      <w:pPr>
        <w:jc w:val="center"/>
        <w:rPr>
          <w:rStyle w:val="14"/>
          <w:b/>
          <w:bCs/>
        </w:rPr>
      </w:pPr>
    </w:p>
    <w:p>
      <w:pPr>
        <w:jc w:val="center"/>
        <w:rPr>
          <w:rStyle w:val="14"/>
        </w:rPr>
      </w:pPr>
    </w:p>
    <w:p>
      <w:pPr>
        <w:jc w:val="center"/>
        <w:rPr>
          <w:rStyle w:val="14"/>
        </w:rPr>
      </w:pPr>
    </w:p>
    <w:p>
      <w:pPr>
        <w:jc w:val="center"/>
        <w:rPr>
          <w:rStyle w:val="14"/>
        </w:rPr>
      </w:pPr>
    </w:p>
    <w:p>
      <w:pPr>
        <w:jc w:val="center"/>
        <w:rPr>
          <w:rStyle w:val="14"/>
        </w:rPr>
      </w:pPr>
    </w:p>
    <w:tbl>
      <w:tblPr>
        <w:tblW w:w="7699" w:type="dxa"/>
        <w:jc w:val="center"/>
        <w:tblInd w:w="-1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405"/>
        <w:gridCol w:w="5294"/>
      </w:tblGrid>
      <w:tr>
        <w:trPr>
          <w:trHeight w:val="615" w:hRule="atLeast"/>
          <w:jc w:val="center"/>
        </w:trPr>
        <w:tc>
          <w:tcPr>
            <w:tcW w:w="2405" w:type="dxa"/>
            <w:vAlign w:val="bottom"/>
          </w:tcPr>
          <w:p>
            <w:pPr>
              <w:jc w:val="distribute"/>
            </w:pPr>
            <w:r>
              <w:rPr>
                <w:rStyle w:val="15"/>
                <w:rFonts w:hint="default"/>
                <w:b/>
                <w:bCs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jc w:val="center"/>
            </w:pPr>
            <w:r>
              <w:rPr>
                <w:rStyle w:val="16"/>
                <w:rFonts w:hint="default"/>
              </w:rPr>
              <w:t>兰州市西固区牙病防治所</w:t>
            </w:r>
          </w:p>
        </w:tc>
      </w:tr>
    </w:tbl>
    <w:p>
      <w:pPr>
        <w:rPr>
          <w:rFonts w:ascii="黑体" w:hAnsi="黑体" w:eastAsia="黑体"/>
          <w:b/>
          <w:bCs/>
          <w:sz w:val="24"/>
          <w:u w:val="single"/>
        </w:rPr>
      </w:pPr>
    </w:p>
    <w:tbl>
      <w:tblPr>
        <w:tblW w:w="7619" w:type="dxa"/>
        <w:jc w:val="center"/>
        <w:tblInd w:w="-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365"/>
        <w:gridCol w:w="5254"/>
      </w:tblGrid>
      <w:tr>
        <w:trPr>
          <w:trHeight w:val="615" w:hRule="atLeast"/>
          <w:jc w:val="center"/>
        </w:trPr>
        <w:tc>
          <w:tcPr>
            <w:tcW w:w="2365" w:type="dxa"/>
            <w:vAlign w:val="bottom"/>
          </w:tcPr>
          <w:p>
            <w:pPr>
              <w:jc w:val="distribute"/>
            </w:pPr>
            <w:r>
              <w:rPr>
                <w:rStyle w:val="15"/>
                <w:rFonts w:hint="default"/>
                <w:b/>
                <w:bCs/>
              </w:rPr>
              <w:t>法</w:t>
            </w:r>
            <w:r>
              <w:rPr>
                <w:rStyle w:val="15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15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firstLine="723" w:firstLineChars="300"/>
        <w:rPr>
          <w:rFonts w:ascii="黑体" w:hAnsi="黑体" w:eastAsia="黑体"/>
          <w:b/>
          <w:bCs/>
          <w:sz w:val="24"/>
          <w:u w:val="single"/>
        </w:rPr>
      </w:pPr>
    </w:p>
    <w:tbl>
      <w:tblPr>
        <w:tblW w:w="7699" w:type="dxa"/>
        <w:jc w:val="center"/>
        <w:tblInd w:w="-1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405"/>
        <w:gridCol w:w="5294"/>
      </w:tblGrid>
      <w:tr>
        <w:trPr>
          <w:trHeight w:val="615" w:hRule="atLeast"/>
          <w:jc w:val="center"/>
        </w:trPr>
        <w:tc>
          <w:tcPr>
            <w:tcW w:w="2405" w:type="dxa"/>
            <w:vAlign w:val="bottom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rStyle w:val="16"/>
                <w:rFonts w:hint="default"/>
                <w:b/>
                <w:bCs/>
              </w:rPr>
              <w:t xml:space="preserve"> </w:t>
            </w:r>
          </w:p>
        </w:tc>
      </w:tr>
    </w:tbl>
    <w:p>
      <w:pPr>
        <w:jc w:val="center"/>
        <w:rPr>
          <w:rFonts w:ascii="黑体" w:hAnsi="黑体" w:eastAsia="黑体"/>
          <w:b/>
          <w:bCs/>
          <w:sz w:val="30"/>
          <w:u w:val="single"/>
        </w:rPr>
      </w:pPr>
    </w:p>
    <w:p>
      <w:pPr>
        <w:jc w:val="center"/>
        <w:rPr>
          <w:rFonts w:ascii="黑体" w:hAnsi="黑体" w:eastAsia="黑体"/>
          <w:b/>
          <w:bCs/>
          <w:sz w:val="30"/>
          <w:u w:val="single"/>
        </w:rPr>
      </w:pPr>
    </w:p>
    <w:p>
      <w:pPr>
        <w:jc w:val="center"/>
        <w:rPr>
          <w:rFonts w:ascii="黑体" w:hAnsi="黑体" w:eastAsia="黑体"/>
          <w:b/>
          <w:bCs/>
          <w:sz w:val="30"/>
          <w:u w:val="single"/>
        </w:rPr>
      </w:pPr>
    </w:p>
    <w:p>
      <w:pPr>
        <w:jc w:val="center"/>
        <w:rPr>
          <w:u w:val="single"/>
        </w:rPr>
      </w:pPr>
    </w:p>
    <w:p>
      <w:pPr>
        <w:jc w:val="center"/>
      </w:pPr>
      <w:r>
        <w:rPr>
          <w:rStyle w:val="16"/>
          <w:rFonts w:hint="default"/>
          <w:b/>
          <w:bCs/>
        </w:rPr>
        <w:t>国家事业单位登记管理局制</w:t>
      </w:r>
    </w:p>
    <w:p>
      <w:pPr>
        <w:rPr>
          <w:u w:val="single"/>
        </w:rPr>
      </w:pPr>
    </w:p>
    <w:tbl>
      <w:tblPr>
        <w:tblW w:w="9653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2090"/>
        <w:gridCol w:w="2263"/>
        <w:gridCol w:w="1460"/>
        <w:gridCol w:w="1907"/>
        <w:gridCol w:w="1933"/>
      </w:tblGrid>
      <w:tr>
        <w:trPr>
          <w:trHeight w:val="821" w:hRule="atLeast"/>
          <w:jc w:val="center"/>
        </w:trPr>
        <w:tc>
          <w:tcPr>
            <w:tcW w:w="209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《事业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单位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法人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证书》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登载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事项</w:t>
            </w:r>
          </w:p>
        </w:tc>
        <w:tc>
          <w:tcPr>
            <w:tcW w:w="22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单位名称</w:t>
            </w:r>
          </w:p>
        </w:tc>
        <w:tc>
          <w:tcPr>
            <w:tcW w:w="530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  <w:r>
              <w:rPr>
                <w:rStyle w:val="17"/>
                <w:rFonts w:hint="default"/>
              </w:rPr>
              <w:t>兰州市西固区牙病防治所</w:t>
            </w:r>
          </w:p>
        </w:tc>
      </w:tr>
      <w:tr>
        <w:trPr>
          <w:trHeight w:val="1386" w:hRule="atLeast"/>
          <w:jc w:val="center"/>
        </w:trPr>
        <w:tc>
          <w:tcPr>
            <w:tcW w:w="20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宗 旨 和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业务范围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  <w:r>
              <w:rPr>
                <w:rStyle w:val="17"/>
                <w:rFonts w:hint="default"/>
              </w:rPr>
              <w:t>为人民牙齿健康提供医疗与预防保健服务。</w:t>
            </w:r>
          </w:p>
        </w:tc>
      </w:tr>
      <w:tr>
        <w:trPr>
          <w:trHeight w:val="534" w:hRule="atLeast"/>
          <w:jc w:val="center"/>
        </w:trPr>
        <w:tc>
          <w:tcPr>
            <w:tcW w:w="20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住    所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  <w:r>
              <w:rPr>
                <w:rStyle w:val="17"/>
                <w:rFonts w:hint="default"/>
              </w:rPr>
              <w:t>兰州市西固区西固巷176号</w:t>
            </w:r>
          </w:p>
        </w:tc>
      </w:tr>
      <w:tr>
        <w:trPr>
          <w:trHeight w:val="534" w:hRule="atLeast"/>
          <w:jc w:val="center"/>
        </w:trPr>
        <w:tc>
          <w:tcPr>
            <w:tcW w:w="20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法定代表人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  <w:r>
              <w:rPr>
                <w:rStyle w:val="17"/>
                <w:rFonts w:hint="default"/>
              </w:rPr>
              <w:t>魏建军</w:t>
            </w:r>
          </w:p>
        </w:tc>
      </w:tr>
      <w:tr>
        <w:trPr>
          <w:trHeight w:val="534" w:hRule="atLeast"/>
          <w:jc w:val="center"/>
        </w:trPr>
        <w:tc>
          <w:tcPr>
            <w:tcW w:w="20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开办资金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</w:pPr>
            <w:r>
              <w:rPr>
                <w:rStyle w:val="16"/>
                <w:rFonts w:hint="default"/>
              </w:rPr>
              <w:t>50.0万元</w:t>
            </w:r>
          </w:p>
        </w:tc>
      </w:tr>
      <w:tr>
        <w:trPr>
          <w:trHeight w:val="534" w:hRule="atLeast"/>
          <w:jc w:val="center"/>
        </w:trPr>
        <w:tc>
          <w:tcPr>
            <w:tcW w:w="20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经费来源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  <w:r>
              <w:rPr>
                <w:rStyle w:val="17"/>
                <w:rFonts w:hint="default"/>
              </w:rPr>
              <w:t xml:space="preserve">财政补助 （差额补贴） </w:t>
            </w:r>
          </w:p>
        </w:tc>
      </w:tr>
      <w:tr>
        <w:trPr>
          <w:trHeight w:val="534" w:hRule="atLeast"/>
          <w:jc w:val="center"/>
        </w:trPr>
        <w:tc>
          <w:tcPr>
            <w:tcW w:w="20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举办单位</w:t>
            </w:r>
          </w:p>
        </w:tc>
        <w:tc>
          <w:tcPr>
            <w:tcW w:w="5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left"/>
            </w:pPr>
            <w:r>
              <w:rPr>
                <w:rStyle w:val="17"/>
                <w:rFonts w:hint="default"/>
              </w:rPr>
              <w:t>兰州市西固区卫生和计划生育局</w:t>
            </w:r>
          </w:p>
        </w:tc>
      </w:tr>
      <w:tr>
        <w:trPr>
          <w:trHeight w:val="674" w:hRule="atLeast"/>
          <w:jc w:val="center"/>
        </w:trPr>
        <w:tc>
          <w:tcPr>
            <w:tcW w:w="209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资产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损益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情况</w:t>
            </w: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净资产合计（所有者权益合计）</w:t>
            </w:r>
          </w:p>
        </w:tc>
      </w:tr>
      <w:tr>
        <w:trPr>
          <w:trHeight w:val="674" w:hRule="atLeas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年初数（万元）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年末数（万元）</w:t>
            </w:r>
          </w:p>
        </w:tc>
      </w:tr>
      <w:tr>
        <w:trPr>
          <w:trHeight w:val="674" w:hRule="atLeast"/>
          <w:jc w:val="center"/>
        </w:trPr>
        <w:tc>
          <w:tcPr>
            <w:tcW w:w="209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</w:rPr>
              <w:t>42.5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</w:rPr>
              <w:t>84.7</w:t>
            </w:r>
          </w:p>
        </w:tc>
      </w:tr>
      <w:tr>
        <w:trPr>
          <w:trHeight w:val="1083" w:hRule="atLeas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网上名称</w:t>
            </w:r>
          </w:p>
        </w:tc>
        <w:tc>
          <w:tcPr>
            <w:tcW w:w="3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Style w:val="16"/>
                <w:rFonts w:hint="default"/>
              </w:rPr>
              <w:t>兰州市西固区牙病防治所.公益</w:t>
            </w:r>
          </w:p>
        </w:tc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从业人数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</w:rPr>
              <w:t>11</w:t>
            </w:r>
          </w:p>
        </w:tc>
      </w:tr>
      <w:tr>
        <w:trPr>
          <w:trHeight w:val="4995" w:hRule="atLeas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对《条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例》和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实施细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则有关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变更登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记规定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的执行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情 况</w:t>
            </w: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Style w:val="17"/>
                <w:rFonts w:hint="default"/>
                <w:sz w:val="21"/>
                <w:szCs w:val="21"/>
              </w:rPr>
              <w:t>无</w:t>
            </w:r>
          </w:p>
        </w:tc>
      </w:tr>
      <w:tr>
        <w:trPr>
          <w:trHeight w:val="13900" w:hRule="atLeast"/>
          <w:jc w:val="center"/>
        </w:trPr>
        <w:tc>
          <w:tcPr>
            <w:tcW w:w="20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开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展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业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务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活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动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情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况</w:t>
            </w:r>
          </w:p>
        </w:tc>
        <w:tc>
          <w:tcPr>
            <w:tcW w:w="756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szCs w:val="21"/>
              </w:rPr>
            </w:pPr>
            <w:r>
              <w:rPr>
                <w:rStyle w:val="16"/>
                <w:rFonts w:hint="default"/>
                <w:sz w:val="21"/>
                <w:szCs w:val="21"/>
              </w:rPr>
              <w:t xml:space="preserve">2016年我单位在区委、区政府以及区卫计局的正确领导和大力支持下，全体员工共同努力下，认真贯彻党的十八大精神，不断加大基础设施建设，全面提高医疗质量和服务质量，单位以开展党的群众路线教育实践活动为抓手，突出医院管理中“质量、安全、服务、效益”的主题，不断加强内涵建设，努力提升服务水平，持续改进医疗质量，不断提高医疗技术，保障医疗安全，努力构建和谐医患关系，整体工作取得了较大进步，现将本年度工作学习情况汇报如下： 一、廉政工作 党风廉政建设以党的十八大以及十八届四中、五中全会精神为指导，坚持“标本兼治、综合治理、惩防并举、注重预防”的方针，以“防范在前、预警在先”为出发点，以排查廉政风险、评定风险等级为基础，以制约和监督权力运行为核心，以完善制度机制为重点，以加强制度建设和监督检查为保障，着力构建廉政风险前期预防、中期监控、后期处置的长效机制，深入推进单位惩治和预防腐败体系建设，打造了一个政治过硬、业务精通、公正清廉、作风优良的医疗卫生单位。 二、党务工作 为深入学习贯彻习近平总书记系列重要讲话精神，推动全面从严治党，向基层延伸，巩固拓展党的群众路线教育实践活动和“三严三实”专题教育成果，进一步解决党员队伍在思想、组织、作风、纪律等方面存在的问题，引导广大党员进一步增强看齐意识、党性意识、规矩意识，立足岗位履职尽责，按照上级党委有关指示精神，结合单位党支部实际，在全体党员中开展了“两学一做”教育活动。围绕专题学习讨论。把个人自学与集中学习结合起来，明确自学要求，引导党员搞好自学。按照“三会一课”制度，以党支部为单位集中学习。“七一”前后，党支部结合开展纪念建党95周年活动，集中安排一次党课。通过开展“两学一做”学习教育，落实了党章关于加强党员教育管理要求、面向全体党员深化党内教育的重要实践，推动了从集中性教育向经常性教育延伸的重要举措，加强了党的思想政治建设的重要部署。党支部把党的思想建设放在首位，以尊崇党章、遵守党规为基本要求，以用习近平总书记系列重要讲话精神武装全党为根本任务，教育引导党员自觉按照党员标准规范言行，进一步坚定理想信念，提高党性觉悟；进一步增强政治意识、大局意识、核心意识、看齐意识，坚定正确政治方向；进一步树立清风正气，严守政治纪律政治规矩；进一步强化宗旨观念，勇于担当作为，在教学、工作、学习和社会生活中起先锋模范作用，为党在思想上政治上行动上的团结统一夯实基础，为协调推进“四个全面”战略布局、贯彻落实五大发展理念提供坚强组织保证。 三、 医务工作 1.门诊医疗情况。今年我单位门诊量20000人次，口腔常见病治愈率95%。全单位职工不断加强业务学习，提高业务水平，不断完善并严格落实各项医疗质量管理核心制度，加强医务人员医德医风建设，实行行风民主评议，加强群众监督，不断提高服务水平。增强服务意识，转变服务观念，改善服务态度，以群众满意为最高目标，自觉抵制医药行业的不正之风，加强自身职业道德修养，努力构建和谐医患关系。 2.注重口腔宣教。今年我单位以“世界爱牙日”为契机，以“口腔健康，全身健康”为主题，分别进入我区辖区内的三所小学（兰炼二小、达川中学、玉门街小学），举办了口腔健康服务团队进校园的活动，为学生们普及口腔健康保健知识，增强学生口腔保健意识和提高他们的口腔健康，让学生对早期的牙病有更深的防治概念，并为学校师生发放口腔健康包，共计1730包。让同学们切实从行动上爱护牙齿，养成良好习惯，提高健康水平。 3.积极参加各项培训及取得的成绩。注重人才队伍建设，本年度我单位共派遣医护人员外出培训学习50余人次，参加了“种植规范化六手操作培训班”、“根管治疗、树脂修复培训”、“《颌学应用》基础培训课程”、“全瓷冠备牙培训课程”、“爱尔创高端美学修复临床推广会”、“芬力树脂纤维技术临床应用”等口腔技术学习交流课程。使单位全体医技人员不断更新新理念、新技术，并很好地应用于临床，为提高医疗质量起到了促进作用，较好地调动了全体人员学习的自觉性和积极性，在单位内形成一股“学、赶、帮”的良好学习风气。从而大大提高了我单位医技人员的整体业务素质和诊疗水平，为提高人民群众的健康水平和生命质量作出了积极的贡献。取得了良好的社会效益和经济效益。今年获得“甘肃省卫计行业口腔岗位技能大赛”团体三等奖，王宁同志获得个人二等奖荣誉称号。 4.业务拓展情况。为满足不同患者的医疗需求，在改善就医环境、提高医疗质量工作的基础上，逐步增加了牙周治疗科、种植科、口腔黏膜病科等，并开设手术室。为分流门诊量以及引进新的人才与技术，我单位在庄浪西路742号分所，租用商铺650㎡, 正在装修之中，预计年底可投入使用。投入资金160万元，继续推行医疗设备及药品招标采购，集中采购，以降低成本，通过公开、公平、公正的原则，购进质优价廉的设备，达到节约资金的目的，又促进了廉政建设。根据医疗业务发展需要，不断加大对医疗器械设备的投入，为医院的诊疗水平登上一个新台阶。分所的资金投入均采用政府采购的形式，来源为设备公司及装修公司前期垫资，我单位分期还款。 四、行内建设工作 1.开展普法活动，利用网站、报刊、培训学习等方式向全体职工宣传卫生法律法规知识。开展消防知识教育和宣传工作，将消防器械配备齐全，所有职工进行培训学会操作消防器械；我单位还进行了安全隐患排查。开展对消防安全通道、消防设施设备使用，配电房、用电线路、药品库房、收费科室、放射室、消杀室、治疗室、楼道的消防设施一一进行排查和整治，提高防范意识，打造平安医院。 2.组织全体职工学习党风廉政制度，建立有奖举报制度和病人电话回访制度，群众满意度达到90%以上。 3.积极开展所务公开工作，建立投诉电话和投诉举报意见箱，坚决杜绝各类违规违纪行为。 四、 政务工作 1.严格做好各项工作的资料收集、归类、存档工作，完善备案管理工作。 2.积极完成区委、区政府和区卫计局临时安排下达的各项工作任务；创建卫生城市、创建文明城市等任务完成较好。 3.单位内无重大事故发生。 </w:t>
            </w:r>
          </w:p>
        </w:tc>
      </w:tr>
      <w:tr>
        <w:trPr>
          <w:trHeight w:val="2763" w:hRule="atLeas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相关资质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认可或执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业许可证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明文件及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有效期</w:t>
            </w: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</w:pPr>
            <w:r>
              <w:rPr>
                <w:rStyle w:val="17"/>
                <w:rFonts w:hint="default"/>
              </w:rPr>
              <w:t>医疗机构执业许可证 有效期 自2013年10月14日至2017年10月13日</w:t>
            </w:r>
          </w:p>
        </w:tc>
      </w:tr>
      <w:tr>
        <w:trPr>
          <w:trHeight w:val="2479" w:hRule="atLeas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绩 效 和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受奖惩及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诉讼投诉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情 况</w:t>
            </w: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</w:pPr>
            <w:r>
              <w:rPr>
                <w:rStyle w:val="17"/>
                <w:rFonts w:hint="default"/>
              </w:rPr>
              <w:t>获得“甘肃省卫计行业口腔岗位技能大赛”团体三等奖，王宁同志获得个人二等奖荣誉称号</w:t>
            </w:r>
          </w:p>
        </w:tc>
      </w:tr>
      <w:tr>
        <w:trPr>
          <w:trHeight w:val="2363" w:hRule="atLeast"/>
          <w:jc w:val="center"/>
        </w:trPr>
        <w:tc>
          <w:tcPr>
            <w:tcW w:w="20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接受捐赠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资助及其</w:t>
            </w:r>
          </w:p>
          <w:p>
            <w:pPr>
              <w:jc w:val="center"/>
            </w:pPr>
            <w:r>
              <w:rPr>
                <w:rStyle w:val="16"/>
                <w:rFonts w:hint="default"/>
                <w:b/>
                <w:bCs/>
              </w:rPr>
              <w:t>使用情况</w:t>
            </w:r>
          </w:p>
        </w:tc>
        <w:tc>
          <w:tcPr>
            <w:tcW w:w="7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</w:pPr>
            <w:r>
              <w:rPr>
                <w:rStyle w:val="17"/>
                <w:rFonts w:hint="default"/>
              </w:rPr>
              <w:t>无</w:t>
            </w:r>
          </w:p>
        </w:tc>
      </w:tr>
      <w:tr>
        <w:trPr>
          <w:trHeight w:val="593" w:hRule="atLeast"/>
          <w:jc w:val="center"/>
        </w:trPr>
        <w:tc>
          <w:tcPr>
            <w:tcW w:w="9653" w:type="dxa"/>
            <w:gridSpan w:val="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</w:pPr>
            <w:r>
              <w:rPr>
                <w:rStyle w:val="17"/>
                <w:rFonts w:hint="default"/>
                <w:b/>
                <w:bCs/>
              </w:rPr>
              <w:t>填表人：颜珍   联系电话：15214055911   报送日期：2017年3月22日</w:t>
            </w:r>
          </w:p>
        </w:tc>
      </w:tr>
    </w:tbl>
    <w:p>
      <w:pPr>
        <w:jc w:val="left"/>
        <w:rPr>
          <w:rFonts w:ascii="楷体_GB2312" w:eastAsia="楷体_GB2312"/>
          <w:b/>
          <w:bCs/>
          <w:sz w:val="18"/>
        </w:rPr>
      </w:pP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fon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30"/>
    </w:rPr>
  </w:style>
  <w:style w:type="paragraph" w:customStyle="1" w:styleId="4">
    <w:name w:val="font2"/>
    <w:basedOn w:val="1"/>
    <w:uiPriority w:val="0"/>
    <w:pPr>
      <w:widowControl/>
      <w:spacing w:before="100" w:beforeAutospacing="1" w:after="100" w:afterAutospacing="1"/>
      <w:jc w:val="left"/>
    </w:pPr>
    <w:rPr>
      <w:rFonts w:hAnsi="宋体" w:eastAsia="楷体_GB2312" w:cs="宋体"/>
      <w:kern w:val="0"/>
      <w:sz w:val="30"/>
    </w:rPr>
  </w:style>
  <w:style w:type="paragraph" w:customStyle="1" w:styleId="5">
    <w:name w:val="font3"/>
    <w:basedOn w:val="1"/>
    <w:uiPriority w:val="0"/>
    <w:pPr>
      <w:widowControl/>
      <w:spacing w:before="100" w:beforeAutospacing="1" w:after="100" w:afterAutospacing="1"/>
      <w:jc w:val="left"/>
    </w:pPr>
    <w:rPr>
      <w:rFonts w:hAnsi="黑体" w:eastAsia="黑体" w:cs="宋体"/>
      <w:spacing w:val="40"/>
      <w:kern w:val="0"/>
      <w:sz w:val="52"/>
    </w:rPr>
  </w:style>
  <w:style w:type="paragraph" w:customStyle="1" w:styleId="6">
    <w:name w:val="font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楷体_GB2312" w:cs="宋体"/>
      <w:spacing w:val="30"/>
      <w:kern w:val="0"/>
      <w:sz w:val="36"/>
    </w:rPr>
  </w:style>
  <w:style w:type="paragraph" w:customStyle="1" w:styleId="7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6"/>
    </w:rPr>
  </w:style>
  <w:style w:type="paragraph" w:customStyle="1" w:styleId="8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hAnsi="宋体" w:eastAsia="楷体_GB2312" w:cs="宋体"/>
      <w:kern w:val="0"/>
      <w:sz w:val="32"/>
    </w:rPr>
  </w:style>
  <w:style w:type="paragraph" w:customStyle="1" w:styleId="9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hAnsi="宋体" w:eastAsia="楷体_GB2312" w:cs="宋体"/>
      <w:kern w:val="0"/>
      <w:sz w:val="28"/>
    </w:rPr>
  </w:style>
  <w:style w:type="paragraph" w:customStyle="1" w:styleId="10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hAnsi="宋体" w:eastAsia="楷体_GB2312" w:cs="宋体"/>
      <w:kern w:val="0"/>
      <w:sz w:val="24"/>
    </w:rPr>
  </w:style>
  <w:style w:type="character" w:customStyle="1" w:styleId="11">
    <w:name w:val="font11"/>
    <w:basedOn w:val="2"/>
    <w:uiPriority w:val="0"/>
    <w:rPr>
      <w:rFonts w:eastAsia="仿宋_GB2312"/>
      <w:sz w:val="30"/>
      <w:szCs w:val="24"/>
    </w:rPr>
  </w:style>
  <w:style w:type="character" w:customStyle="1" w:styleId="12">
    <w:name w:val="font21"/>
    <w:basedOn w:val="2"/>
    <w:uiPriority w:val="0"/>
    <w:rPr>
      <w:rFonts w:hint="eastAsia" w:ascii="Times New Roman" w:eastAsia="楷体_GB2312"/>
      <w:sz w:val="30"/>
      <w:szCs w:val="24"/>
    </w:rPr>
  </w:style>
  <w:style w:type="character" w:customStyle="1" w:styleId="13">
    <w:name w:val="font31"/>
    <w:basedOn w:val="2"/>
    <w:uiPriority w:val="0"/>
    <w:rPr>
      <w:rFonts w:hint="eastAsia" w:ascii="Times New Roman" w:hAnsi="黑体" w:eastAsia="黑体"/>
      <w:spacing w:val="40"/>
      <w:sz w:val="52"/>
      <w:szCs w:val="24"/>
    </w:rPr>
  </w:style>
  <w:style w:type="character" w:customStyle="1" w:styleId="14">
    <w:name w:val="font41"/>
    <w:basedOn w:val="2"/>
    <w:uiPriority w:val="0"/>
    <w:rPr>
      <w:rFonts w:eastAsia="楷体_GB2312"/>
      <w:spacing w:val="30"/>
      <w:sz w:val="36"/>
      <w:szCs w:val="24"/>
    </w:rPr>
  </w:style>
  <w:style w:type="character" w:customStyle="1" w:styleId="15">
    <w:name w:val="font51"/>
    <w:basedOn w:val="2"/>
    <w:uiPriority w:val="0"/>
    <w:rPr>
      <w:rFonts w:hint="eastAsia" w:ascii="黑体" w:hAnsi="黑体" w:eastAsia="黑体"/>
      <w:sz w:val="36"/>
      <w:szCs w:val="24"/>
    </w:rPr>
  </w:style>
  <w:style w:type="character" w:customStyle="1" w:styleId="16">
    <w:name w:val="font61"/>
    <w:basedOn w:val="2"/>
    <w:uiPriority w:val="0"/>
    <w:rPr>
      <w:rFonts w:hint="eastAsia" w:ascii="Times New Roman" w:eastAsia="楷体_GB2312"/>
      <w:sz w:val="32"/>
      <w:szCs w:val="24"/>
    </w:rPr>
  </w:style>
  <w:style w:type="character" w:customStyle="1" w:styleId="17">
    <w:name w:val="font71"/>
    <w:basedOn w:val="2"/>
    <w:uiPriority w:val="0"/>
    <w:rPr>
      <w:rFonts w:hint="eastAsia" w:ascii="Times New Roman" w:eastAsia="楷体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481</Words>
  <Characters>2747</Characters>
  <Lines>22</Lines>
  <Paragraphs>6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2017-03-22T02:56:00Z</dcterms:created>
  <dc:creator>魏建军</dc:creator>
  <cp:lastModifiedBy>admin</cp:lastModifiedBy>
  <cp:lastPrinted>2017-03-22T02:53:00Z</cp:lastPrinted>
  <dcterms:modified xsi:type="dcterms:W3CDTF">2017-04-06T05:22:44Z</dcterms:modified>
  <dc:title>统一社会信用代码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