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Style w:val="11"/>
        </w:rPr>
      </w:pPr>
    </w:p>
    <w:tbl>
      <w:tblPr>
        <w:tblW w:w="4346" w:type="dxa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99"/>
        <w:gridCol w:w="3000"/>
        <w:gridCol w:w="447"/>
      </w:tblGrid>
      <w:tr>
        <w:tc>
          <w:tcPr>
            <w:tcW w:w="899" w:type="dxa"/>
            <w:vAlign w:val="top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0" w:type="dxa"/>
            <w:vAlign w:val="top"/>
          </w:tcPr>
          <w:p>
            <w:pPr>
              <w:jc w:val="center"/>
            </w:pPr>
            <w:r>
              <w:rPr>
                <w:rStyle w:val="12"/>
                <w:rFonts w:hint="default"/>
                <w:b/>
                <w:bCs/>
              </w:rPr>
              <w:t>统一社会信用代码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c>
          <w:tcPr>
            <w:tcW w:w="899" w:type="dxa"/>
            <w:vAlign w:val="top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0" w:type="dxa"/>
            <w:vAlign w:val="top"/>
          </w:tcPr>
          <w:p>
            <w:pPr>
              <w:jc w:val="center"/>
            </w:pPr>
            <w:r>
              <w:rPr>
                <w:rStyle w:val="12"/>
                <w:rFonts w:hint="default"/>
                <w:b/>
                <w:bCs/>
              </w:rPr>
              <w:t>12620104438120322Q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</w:pPr>
      <w:r>
        <w:rPr>
          <w:rStyle w:val="13"/>
          <w:rFonts w:hint="default"/>
          <w:b/>
          <w:bCs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</w:rPr>
      </w:pPr>
    </w:p>
    <w:tbl>
      <w:tblPr>
        <w:tblW w:w="3848" w:type="dxa"/>
        <w:jc w:val="center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94"/>
        <w:gridCol w:w="1814"/>
        <w:gridCol w:w="1440"/>
      </w:tblGrid>
      <w:tr>
        <w:trPr>
          <w:jc w:val="center"/>
        </w:trPr>
        <w:tc>
          <w:tcPr>
            <w:tcW w:w="594" w:type="dxa"/>
            <w:vAlign w:val="top"/>
          </w:tcPr>
          <w:p>
            <w:pPr>
              <w:jc w:val="center"/>
            </w:pPr>
            <w:r>
              <w:rPr>
                <w:rStyle w:val="12"/>
                <w:rFonts w:hint="default"/>
                <w:b/>
                <w:bCs/>
              </w:rPr>
              <w:t>（</w:t>
            </w:r>
          </w:p>
        </w:tc>
        <w:tc>
          <w:tcPr>
            <w:tcW w:w="1814" w:type="dxa"/>
            <w:vAlign w:val="top"/>
          </w:tcPr>
          <w:p>
            <w:pPr>
              <w:jc w:val="center"/>
            </w:pPr>
            <w:r>
              <w:rPr>
                <w:rStyle w:val="12"/>
                <w:rFonts w:hint="default"/>
                <w:b/>
                <w:bCs/>
              </w:rPr>
              <w:t>2016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Style w:val="12"/>
                <w:rFonts w:hint="default"/>
                <w:b/>
                <w:bCs/>
              </w:rPr>
              <w:t>）年度</w:t>
            </w:r>
          </w:p>
        </w:tc>
      </w:tr>
    </w:tbl>
    <w:p>
      <w:pPr>
        <w:jc w:val="center"/>
        <w:rPr>
          <w:rStyle w:val="14"/>
          <w:b/>
          <w:bCs/>
        </w:rPr>
      </w:pPr>
    </w:p>
    <w:p>
      <w:pPr>
        <w:jc w:val="center"/>
        <w:rPr>
          <w:rStyle w:val="14"/>
        </w:rPr>
      </w:pPr>
    </w:p>
    <w:p>
      <w:pPr>
        <w:jc w:val="center"/>
        <w:rPr>
          <w:rStyle w:val="14"/>
        </w:rPr>
      </w:pPr>
    </w:p>
    <w:p>
      <w:pPr>
        <w:jc w:val="center"/>
        <w:rPr>
          <w:rStyle w:val="14"/>
        </w:rPr>
      </w:pPr>
    </w:p>
    <w:p>
      <w:pPr>
        <w:jc w:val="center"/>
        <w:rPr>
          <w:rStyle w:val="14"/>
        </w:rPr>
      </w:pPr>
    </w:p>
    <w:tbl>
      <w:tblPr>
        <w:tblW w:w="7699" w:type="dxa"/>
        <w:jc w:val="center"/>
        <w:tblInd w:w="-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05"/>
        <w:gridCol w:w="5294"/>
      </w:tblGrid>
      <w:tr>
        <w:trPr>
          <w:trHeight w:val="615" w:hRule="atLeast"/>
          <w:jc w:val="center"/>
        </w:trPr>
        <w:tc>
          <w:tcPr>
            <w:tcW w:w="2405" w:type="dxa"/>
            <w:vAlign w:val="bottom"/>
          </w:tcPr>
          <w:p>
            <w:pPr>
              <w:jc w:val="distribute"/>
            </w:pPr>
            <w:r>
              <w:rPr>
                <w:rStyle w:val="15"/>
                <w:rFonts w:hint="default"/>
                <w:b/>
                <w:bCs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</w:pPr>
            <w:r>
              <w:rPr>
                <w:rStyle w:val="16"/>
                <w:rFonts w:hint="default"/>
              </w:rPr>
              <w:t>兰州市西固区牙病防治所</w:t>
            </w:r>
          </w:p>
        </w:tc>
      </w:tr>
    </w:tbl>
    <w:p>
      <w:pPr>
        <w:rPr>
          <w:rFonts w:ascii="黑体" w:hAnsi="黑体" w:eastAsia="黑体"/>
          <w:b/>
          <w:bCs/>
          <w:sz w:val="24"/>
          <w:u w:val="single"/>
        </w:rPr>
      </w:pPr>
    </w:p>
    <w:tbl>
      <w:tblPr>
        <w:tblW w:w="7619" w:type="dxa"/>
        <w:jc w:val="center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365"/>
        <w:gridCol w:w="5254"/>
      </w:tblGrid>
      <w:tr>
        <w:trPr>
          <w:trHeight w:val="615" w:hRule="atLeast"/>
          <w:jc w:val="center"/>
        </w:trPr>
        <w:tc>
          <w:tcPr>
            <w:tcW w:w="2365" w:type="dxa"/>
            <w:vAlign w:val="bottom"/>
          </w:tcPr>
          <w:p>
            <w:pPr>
              <w:jc w:val="distribute"/>
            </w:pPr>
            <w:r>
              <w:rPr>
                <w:rStyle w:val="15"/>
                <w:rFonts w:hint="default"/>
                <w:b/>
                <w:bCs/>
              </w:rPr>
              <w:t>法</w:t>
            </w:r>
            <w:r>
              <w:rPr>
                <w:rStyle w:val="15"/>
                <w:rFonts w:hint="default"/>
                <w:b/>
                <w:bCs/>
                <w:spacing w:val="30"/>
              </w:rPr>
              <w:t>定代表</w:t>
            </w:r>
            <w:r>
              <w:rPr>
                <w:rStyle w:val="15"/>
                <w:rFonts w:hint="default"/>
                <w:b/>
                <w:bCs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723" w:firstLineChars="300"/>
        <w:rPr>
          <w:rFonts w:ascii="黑体" w:hAnsi="黑体" w:eastAsia="黑体"/>
          <w:b/>
          <w:bCs/>
          <w:sz w:val="24"/>
          <w:u w:val="single"/>
        </w:rPr>
      </w:pPr>
    </w:p>
    <w:tbl>
      <w:tblPr>
        <w:tblW w:w="7699" w:type="dxa"/>
        <w:jc w:val="center"/>
        <w:tblInd w:w="-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05"/>
        <w:gridCol w:w="5294"/>
      </w:tblGrid>
      <w:tr>
        <w:trPr>
          <w:trHeight w:val="615" w:hRule="atLeast"/>
          <w:jc w:val="center"/>
        </w:trPr>
        <w:tc>
          <w:tcPr>
            <w:tcW w:w="2405" w:type="dxa"/>
            <w:vAlign w:val="bottom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rStyle w:val="16"/>
                <w:rFonts w:hint="default"/>
                <w:b/>
                <w:bCs/>
              </w:rPr>
              <w:t xml:space="preserve"> </w:t>
            </w:r>
          </w:p>
        </w:tc>
      </w:tr>
    </w:tbl>
    <w:p>
      <w:pPr>
        <w:jc w:val="center"/>
        <w:rPr>
          <w:rFonts w:ascii="黑体" w:hAnsi="黑体" w:eastAsia="黑体"/>
          <w:b/>
          <w:bCs/>
          <w:sz w:val="30"/>
          <w:u w:val="single"/>
        </w:rPr>
      </w:pPr>
    </w:p>
    <w:p>
      <w:pPr>
        <w:jc w:val="center"/>
        <w:rPr>
          <w:rFonts w:ascii="黑体" w:hAnsi="黑体" w:eastAsia="黑体"/>
          <w:b/>
          <w:bCs/>
          <w:sz w:val="30"/>
          <w:u w:val="single"/>
        </w:rPr>
      </w:pPr>
    </w:p>
    <w:p>
      <w:pPr>
        <w:jc w:val="center"/>
        <w:rPr>
          <w:rFonts w:ascii="黑体" w:hAnsi="黑体" w:eastAsia="黑体"/>
          <w:b/>
          <w:bCs/>
          <w:sz w:val="30"/>
          <w:u w:val="single"/>
        </w:rPr>
      </w:pPr>
    </w:p>
    <w:p>
      <w:pPr>
        <w:jc w:val="center"/>
        <w:rPr>
          <w:u w:val="single"/>
        </w:rPr>
      </w:pPr>
    </w:p>
    <w:p>
      <w:pPr>
        <w:jc w:val="center"/>
      </w:pPr>
      <w:r>
        <w:rPr>
          <w:rStyle w:val="16"/>
          <w:rFonts w:hint="default"/>
          <w:b/>
          <w:bCs/>
        </w:rPr>
        <w:t>国家事业单位登记管理局制</w:t>
      </w:r>
    </w:p>
    <w:p>
      <w:pPr>
        <w:rPr>
          <w:u w:val="single"/>
        </w:rPr>
      </w:pPr>
    </w:p>
    <w:tbl>
      <w:tblPr>
        <w:tblW w:w="9653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090"/>
        <w:gridCol w:w="2263"/>
        <w:gridCol w:w="1460"/>
        <w:gridCol w:w="1907"/>
        <w:gridCol w:w="1933"/>
      </w:tblGrid>
      <w:tr>
        <w:trPr>
          <w:trHeight w:val="821" w:hRule="atLeast"/>
          <w:jc w:val="center"/>
        </w:trPr>
        <w:tc>
          <w:tcPr>
            <w:tcW w:w="20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《事业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单位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法人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证书》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登载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事项</w:t>
            </w:r>
          </w:p>
        </w:tc>
        <w:tc>
          <w:tcPr>
            <w:tcW w:w="2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单位名称</w:t>
            </w:r>
          </w:p>
        </w:tc>
        <w:tc>
          <w:tcPr>
            <w:tcW w:w="53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7"/>
                <w:rFonts w:hint="default"/>
              </w:rPr>
              <w:t>兰州市西固区牙病防治所</w:t>
            </w:r>
          </w:p>
        </w:tc>
      </w:tr>
      <w:tr>
        <w:trPr>
          <w:trHeight w:val="1386" w:hRule="atLeast"/>
          <w:jc w:val="center"/>
        </w:trPr>
        <w:tc>
          <w:tcPr>
            <w:tcW w:w="20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宗 旨 和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业务范围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7"/>
                <w:rFonts w:hint="default"/>
              </w:rPr>
              <w:t>为人民牙齿健康提供医疗与预防保健服务。</w:t>
            </w:r>
          </w:p>
        </w:tc>
      </w:tr>
      <w:tr>
        <w:trPr>
          <w:trHeight w:val="534" w:hRule="atLeast"/>
          <w:jc w:val="center"/>
        </w:trPr>
        <w:tc>
          <w:tcPr>
            <w:tcW w:w="20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住    所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7"/>
                <w:rFonts w:hint="default"/>
              </w:rPr>
              <w:t>兰州市西固区西固巷176号</w:t>
            </w:r>
          </w:p>
        </w:tc>
      </w:tr>
      <w:tr>
        <w:trPr>
          <w:trHeight w:val="534" w:hRule="atLeast"/>
          <w:jc w:val="center"/>
        </w:trPr>
        <w:tc>
          <w:tcPr>
            <w:tcW w:w="20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法定代表人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7"/>
                <w:rFonts w:hint="default"/>
              </w:rPr>
              <w:t>魏建军</w:t>
            </w:r>
          </w:p>
        </w:tc>
      </w:tr>
      <w:tr>
        <w:trPr>
          <w:trHeight w:val="534" w:hRule="atLeast"/>
          <w:jc w:val="center"/>
        </w:trPr>
        <w:tc>
          <w:tcPr>
            <w:tcW w:w="20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开办资金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Style w:val="16"/>
                <w:rFonts w:hint="default"/>
              </w:rPr>
              <w:t>50.0万元</w:t>
            </w:r>
          </w:p>
        </w:tc>
      </w:tr>
      <w:tr>
        <w:trPr>
          <w:trHeight w:val="534" w:hRule="atLeast"/>
          <w:jc w:val="center"/>
        </w:trPr>
        <w:tc>
          <w:tcPr>
            <w:tcW w:w="20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经费来源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7"/>
                <w:rFonts w:hint="default"/>
              </w:rPr>
              <w:t xml:space="preserve">财政补助 （差额补贴） </w:t>
            </w:r>
          </w:p>
        </w:tc>
      </w:tr>
      <w:tr>
        <w:trPr>
          <w:trHeight w:val="534" w:hRule="atLeast"/>
          <w:jc w:val="center"/>
        </w:trPr>
        <w:tc>
          <w:tcPr>
            <w:tcW w:w="20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举办单位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7"/>
                <w:rFonts w:hint="default"/>
              </w:rPr>
              <w:t>兰州市西固区卫生和计划生育局</w:t>
            </w:r>
          </w:p>
        </w:tc>
      </w:tr>
      <w:tr>
        <w:trPr>
          <w:trHeight w:val="674" w:hRule="atLeast"/>
          <w:jc w:val="center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资产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损益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情况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净资产合计（所有者权益合计）</w:t>
            </w:r>
          </w:p>
        </w:tc>
      </w:tr>
      <w:tr>
        <w:trPr>
          <w:trHeight w:val="674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年初数（万元）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年末数（万元）</w:t>
            </w:r>
          </w:p>
        </w:tc>
      </w:tr>
      <w:tr>
        <w:trPr>
          <w:trHeight w:val="674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</w:rPr>
              <w:t>42.5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</w:rPr>
              <w:t>84.7</w:t>
            </w:r>
          </w:p>
        </w:tc>
      </w:tr>
      <w:tr>
        <w:trPr>
          <w:trHeight w:val="1083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网上名称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Style w:val="16"/>
                <w:rFonts w:hint="default"/>
              </w:rPr>
              <w:t>兰州市西固区牙病防治所.公益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从业人数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</w:rPr>
              <w:t>11</w:t>
            </w:r>
          </w:p>
        </w:tc>
      </w:tr>
      <w:tr>
        <w:trPr>
          <w:trHeight w:val="4995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对《条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例》和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实施细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则有关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变更登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记规定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的执行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情 况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Style w:val="17"/>
                <w:rFonts w:hint="default"/>
                <w:sz w:val="21"/>
                <w:szCs w:val="21"/>
              </w:rPr>
              <w:t>无</w:t>
            </w:r>
          </w:p>
        </w:tc>
      </w:tr>
      <w:tr>
        <w:trPr>
          <w:trHeight w:val="13900" w:hRule="atLeast"/>
          <w:jc w:val="center"/>
        </w:trPr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开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展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业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务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活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动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情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况</w:t>
            </w:r>
          </w:p>
        </w:tc>
        <w:tc>
          <w:tcPr>
            <w:tcW w:w="75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 xml:space="preserve">2016年我单位在区委、区政府以及区卫计局的正确领导和大力支持下，全体员工共同努力下，认真贯彻党的十八大精神，不断加大基础设施建设，全面提高医疗质量和服务质量，单位以开展党的群众路线教育实践活动为抓手，突出医院管理中“质量、安全、服务、效益”的主题，不断加强内涵建设，努力提升服务水平，持续改进医疗质量，不断提高医疗技术，保障医疗安全，努力构建和谐医患关系，整体工作取得了较大进步，现将本年度工作学习情况汇报如下： 一、廉政工作 党风廉政建设以党的十八大以及十八届四中、五中全会精神为指导，坚持“标本兼治、综合治理、惩防并举、注重预防”的方针，以“防范在前、预警在先”为出发点，以排查廉政风险、评定风险等级为基础，以制约和监督权力运行为核心，以完善制度机制为重点，以加强制度建设和监督检查为保障，着力构建廉政风险前期预防、中期监控、后期处置的长效机制，深入推进单位惩治和预防腐败体系建设，打造了一个政治过硬、业务精通、公正清廉、作风优良的医疗卫生单位。 二、党务工作 为深入学习贯彻习近平总书记系列重要讲话精神，推动全面从严治党，向基层延伸，巩固拓展党的群众路线教育实践活动和“三严三实”专题教育成果，进一步解决党员队伍在思想、组织、作风、纪律等方面存在的问题，引导广大党员进一步增强看齐意识、党性意识、规矩意识，立足岗位履职尽责，按照上级党委有关指示精神，结合单位党支部实际，在全体党员中开展了“两学一做”教育活动。围绕专题学习讨论。把个人自学与集中学习结合起来，明确自学要求，引导党员搞好自学。按照“三会一课”制度，以党支部为单位集中学习。“七一”前后，党支部结合开展纪念建党95周年活动，集中安排一次党课。通过开展“两学一做”学习教育，落实了党章关于加强党员教育管理要求、面向全体党员深化党内教育的重要实践，推动了从集中性教育向经常性教育延伸的重要举措，加强了党的思想政治建设的重要部署。党支部把党的思想建设放在首位，以尊崇党章、遵守党规为基本要求，以用习近平总书记系列重要讲话精神武装全党为根本任务，教育引导党员自觉按照党员标准规范言行，进一步坚定理想信念，提高党性觉悟；进一步增强政治意识、大局意识、核心意识、看齐意识，坚定正确政治方向；进一步树立清风正气，严守政治纪律政治规矩；进一步强化宗旨观念，勇于担当作为，在教学、工作、学习和社会生活中起先锋模范作用，为党在思想上政治上行动上的团结统一夯实基础，为协调推进“四个全面”战略布局、贯彻落实五大发展理念提供坚强组织保证。 三、 医务工作 1.门诊医疗情况。今年我单位门诊量20000人次，口腔常见病治愈率95%。全单位职工不断加强业务学习，提高业务水平，不断完善并严格落实各项医疗质量管理核心制度，加强医务人员医德医风建设，实行行风民主评议，加强群众监督，不断提高服务水平。增强服务意识，转变服务观念，改善服务态度，以群众满意为最高目标，自觉抵制医药行业的不正之风，加强自身职业道德修养，努力构建和谐医患关系。 2.注重口腔宣教。今年我单位以“世界爱牙日”为契机，以“口腔健康，全身健康”为主题，分别进入我区辖区内的三所小学（兰炼二小、达川中学、玉门街小学），举办了口腔健康服务团队进校园的活动，为学生们普及口腔健康保健知识，增强学生口腔保健意识和提高他们的口腔健康，让学生对早期的牙病有更深的防治概念，并为学校师生发放口腔健康包，共计1730包。让同学们切实从行动上爱护牙齿，养成良好习惯，提高健康水平。 3.积极参加各项培训及取得的成绩。注重人才队伍建设，本年度我单位共派遣医护人员外出培训学习50余人次，参加了“种植规范化六手操作培训班”、“根管治疗、树脂修复培训”、“《颌学应用》基础培训课程”、“全瓷冠备牙培训课程”、“爱尔创高端美学修复临床推广会”、“芬力树脂纤维技术临床应用”等口腔技术学习交流课程。使单位全体医技人员不断更新新理念、新技术，并很好地应用于临床，为提高医疗质量起到了促进作用，较好地调动了全体人员学习的自觉性和积极性，在单位内形成一股“学、赶、帮”的良好学习风气。从而大大提高了我单位医技人员的整体业务素质和诊疗水平，为提高人民群众的健康水平和生命质量作出了积极的贡献。取得了良好的社会效益和经济效益。今年获得“甘肃省卫计行业口腔岗位技能大赛”团体三等奖，王宁同志获得个人二等奖荣誉称号。 4.业务拓展情况。为满足不同患者的医疗需求，在改善就医环境、提高医疗质量工作的基础上，逐步增加了牙周治疗科、种植科、口腔黏膜病科等，并开设手术室。为分流门诊量以及引进新的人才与技术，我单位在庄浪西路742号分所，租用商铺650㎡, 正在装修之中，预计年底可投入使用。投入资金160万元，继续推行医疗设备及药品招标采购，集中采购，以降低成本，通过公开、公平、公正的原则，购进质优价廉的设备，达到节约资金的目的，又促进了廉政建设。根据医疗业务发展需要，不断加大对医疗器械设备的投入，为医院的诊疗水平登上一个新台阶。分所的资金投入均采用政府采购的形式，来源为设备公司及装修公司前期垫资，我单位分期还款。 四、行内建设工作 1.开展普法活动，利用网站、报刊、培训学习等方式向全体职工宣传卫生法律法规知识。开展消防知识教育和宣传工作，将消防器械配备齐全，所有职工进行培训学会操作消防器械；我单位还进行了安全隐患排查。开展对消防安全通道、消防设施设备使用，配电房、用电线路、药品库房、收费科室、放射室、消杀室、治疗室、楼道的消防设施一一进行排查和整治，提高防范意识，打造平安医院。 2.组织全体职工学习党风廉政制度，建立有奖举报制度和病人电话回访制度，群众满意度达到90%以上。 3.积极开展所务公开工作，建立投诉电话和投诉举报意见箱，坚决杜绝各类违规违纪行为。 四、 政务工作 1.严格做好各项工作的资料收集、归类、存档工作，完善备案管理工作。 2.积极完成区委、区政府和区卫计局临时安排下达的各项工作任务；创建卫生城市、创建文明城市等任务完成较好。 3.单位内无重大事故发生。 </w:t>
            </w:r>
          </w:p>
        </w:tc>
      </w:tr>
      <w:tr>
        <w:trPr>
          <w:trHeight w:val="2763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相关资质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认可或执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业许可证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明文件及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有效期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</w:pPr>
            <w:r>
              <w:rPr>
                <w:rStyle w:val="17"/>
                <w:rFonts w:hint="default"/>
              </w:rPr>
              <w:t>医疗机构执业许可证 有效期 自2013年10月14日至2017年10月13日</w:t>
            </w:r>
          </w:p>
        </w:tc>
      </w:tr>
      <w:tr>
        <w:trPr>
          <w:trHeight w:val="2479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绩 效 和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受奖惩及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诉讼投诉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情 况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</w:pPr>
            <w:r>
              <w:rPr>
                <w:rStyle w:val="17"/>
                <w:rFonts w:hint="default"/>
              </w:rPr>
              <w:t>获得“甘肃省卫计行业口腔岗位技能大赛”团体三等奖，王宁同志获得个人二等奖荣誉称号</w:t>
            </w:r>
          </w:p>
        </w:tc>
      </w:tr>
      <w:tr>
        <w:trPr>
          <w:trHeight w:val="2363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接受捐赠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资助及其</w:t>
            </w:r>
          </w:p>
          <w:p>
            <w:pPr>
              <w:jc w:val="center"/>
            </w:pPr>
            <w:r>
              <w:rPr>
                <w:rStyle w:val="16"/>
                <w:rFonts w:hint="default"/>
                <w:b/>
                <w:bCs/>
              </w:rPr>
              <w:t>使用情况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</w:pPr>
            <w:r>
              <w:rPr>
                <w:rStyle w:val="17"/>
                <w:rFonts w:hint="default"/>
              </w:rPr>
              <w:t>无</w:t>
            </w:r>
          </w:p>
        </w:tc>
      </w:tr>
      <w:tr>
        <w:trPr>
          <w:trHeight w:val="593" w:hRule="atLeast"/>
          <w:jc w:val="center"/>
        </w:trPr>
        <w:tc>
          <w:tcPr>
            <w:tcW w:w="9653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Style w:val="17"/>
                <w:rFonts w:hint="default"/>
                <w:b/>
                <w:bCs/>
              </w:rPr>
              <w:t>填表人：颜珍   联系电话：15214055911   报送日期：2017年3月22日</w:t>
            </w:r>
          </w:p>
        </w:tc>
      </w:tr>
    </w:tbl>
    <w:p>
      <w:pPr>
        <w:jc w:val="left"/>
        <w:rPr>
          <w:rFonts w:ascii="楷体_GB2312" w:eastAsia="楷体_GB2312"/>
          <w:b/>
          <w:bCs/>
          <w:sz w:val="18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0"/>
    </w:rPr>
  </w:style>
  <w:style w:type="paragraph" w:customStyle="1" w:styleId="4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hAnsi="宋体" w:eastAsia="楷体_GB2312" w:cs="宋体"/>
      <w:kern w:val="0"/>
      <w:sz w:val="30"/>
    </w:rPr>
  </w:style>
  <w:style w:type="paragraph" w:customStyle="1" w:styleId="5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hAnsi="黑体" w:eastAsia="黑体" w:cs="宋体"/>
      <w:spacing w:val="40"/>
      <w:kern w:val="0"/>
      <w:sz w:val="52"/>
    </w:rPr>
  </w:style>
  <w:style w:type="paragraph" w:customStyle="1" w:styleId="6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楷体_GB2312" w:cs="宋体"/>
      <w:spacing w:val="30"/>
      <w:kern w:val="0"/>
      <w:sz w:val="36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6"/>
    </w:rPr>
  </w:style>
  <w:style w:type="paragraph" w:customStyle="1" w:styleId="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hAnsi="宋体" w:eastAsia="楷体_GB2312" w:cs="宋体"/>
      <w:kern w:val="0"/>
      <w:sz w:val="32"/>
    </w:rPr>
  </w:style>
  <w:style w:type="paragraph" w:customStyle="1" w:styleId="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hAnsi="宋体" w:eastAsia="楷体_GB2312" w:cs="宋体"/>
      <w:kern w:val="0"/>
      <w:sz w:val="28"/>
    </w:rPr>
  </w:style>
  <w:style w:type="paragraph" w:customStyle="1" w:styleId="1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hAnsi="宋体" w:eastAsia="楷体_GB2312" w:cs="宋体"/>
      <w:kern w:val="0"/>
      <w:sz w:val="24"/>
    </w:rPr>
  </w:style>
  <w:style w:type="character" w:customStyle="1" w:styleId="11">
    <w:name w:val="font11"/>
    <w:basedOn w:val="2"/>
    <w:uiPriority w:val="0"/>
    <w:rPr>
      <w:rFonts w:eastAsia="仿宋_GB2312"/>
      <w:sz w:val="30"/>
      <w:szCs w:val="24"/>
    </w:rPr>
  </w:style>
  <w:style w:type="character" w:customStyle="1" w:styleId="12">
    <w:name w:val="font21"/>
    <w:basedOn w:val="2"/>
    <w:uiPriority w:val="0"/>
    <w:rPr>
      <w:rFonts w:hint="eastAsia" w:ascii="Times New Roman" w:eastAsia="楷体_GB2312"/>
      <w:sz w:val="30"/>
      <w:szCs w:val="24"/>
    </w:rPr>
  </w:style>
  <w:style w:type="character" w:customStyle="1" w:styleId="13">
    <w:name w:val="font31"/>
    <w:basedOn w:val="2"/>
    <w:uiPriority w:val="0"/>
    <w:rPr>
      <w:rFonts w:hint="eastAsia" w:ascii="Times New Roman" w:hAnsi="黑体" w:eastAsia="黑体"/>
      <w:spacing w:val="40"/>
      <w:sz w:val="52"/>
      <w:szCs w:val="24"/>
    </w:rPr>
  </w:style>
  <w:style w:type="character" w:customStyle="1" w:styleId="14">
    <w:name w:val="font41"/>
    <w:basedOn w:val="2"/>
    <w:uiPriority w:val="0"/>
    <w:rPr>
      <w:rFonts w:eastAsia="楷体_GB2312"/>
      <w:spacing w:val="30"/>
      <w:sz w:val="36"/>
      <w:szCs w:val="24"/>
    </w:rPr>
  </w:style>
  <w:style w:type="character" w:customStyle="1" w:styleId="15">
    <w:name w:val="font51"/>
    <w:basedOn w:val="2"/>
    <w:uiPriority w:val="0"/>
    <w:rPr>
      <w:rFonts w:hint="eastAsia" w:ascii="黑体" w:hAnsi="黑体" w:eastAsia="黑体"/>
      <w:sz w:val="36"/>
      <w:szCs w:val="24"/>
    </w:rPr>
  </w:style>
  <w:style w:type="character" w:customStyle="1" w:styleId="16">
    <w:name w:val="font61"/>
    <w:basedOn w:val="2"/>
    <w:uiPriority w:val="0"/>
    <w:rPr>
      <w:rFonts w:hint="eastAsia" w:ascii="Times New Roman" w:eastAsia="楷体_GB2312"/>
      <w:sz w:val="32"/>
      <w:szCs w:val="24"/>
    </w:rPr>
  </w:style>
  <w:style w:type="character" w:customStyle="1" w:styleId="17">
    <w:name w:val="font71"/>
    <w:basedOn w:val="2"/>
    <w:uiPriority w:val="0"/>
    <w:rPr>
      <w:rFonts w:hint="eastAsia" w:ascii="Times New Roman" w:eastAsia="楷体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481</Words>
  <Characters>2747</Characters>
  <Lines>22</Lines>
  <Paragraphs>6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2017-03-22T02:56:00Z</dcterms:created>
  <dc:creator>魏建军</dc:creator>
  <cp:lastModifiedBy>admin</cp:lastModifiedBy>
  <cp:lastPrinted>2017-03-22T02:53:00Z</cp:lastPrinted>
  <dcterms:modified xsi:type="dcterms:W3CDTF">2017-04-06T05:22:44Z</dcterms:modified>
  <dc:title>统一社会信用代码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