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46" w:type="dxa"/>
        <w:tblInd w:w="5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24"/>
        <w:gridCol w:w="2967"/>
        <w:gridCol w:w="455"/>
      </w:tblGrid>
      <w:tr>
        <w:tc>
          <w:tcPr>
            <w:tcW w:w="924" w:type="dxa"/>
            <w:vAlign w:val="top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</w:pPr>
            <w:r>
              <w:rPr>
                <w:rStyle w:val="5"/>
                <w:rFonts w:hint="default"/>
                <w:b/>
                <w:bCs/>
              </w:rPr>
              <w:t>统一社会信用代码</w:t>
            </w:r>
          </w:p>
        </w:tc>
        <w:tc>
          <w:tcPr>
            <w:tcW w:w="455" w:type="dxa"/>
            <w:vAlign w:val="top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c>
          <w:tcPr>
            <w:tcW w:w="924" w:type="dxa"/>
            <w:vAlign w:val="top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</w:pPr>
            <w:r>
              <w:rPr>
                <w:rStyle w:val="5"/>
                <w:rFonts w:hint="default"/>
                <w:b/>
                <w:bCs/>
              </w:rPr>
              <w:t>12620104438120357B</w:t>
            </w:r>
          </w:p>
        </w:tc>
        <w:tc>
          <w:tcPr>
            <w:tcW w:w="455" w:type="dxa"/>
            <w:vAlign w:val="top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</w:pPr>
      <w:r>
        <w:rPr>
          <w:rStyle w:val="6"/>
          <w:rFonts w:hint="default"/>
          <w:b/>
          <w:bCs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</w:rPr>
      </w:pPr>
    </w:p>
    <w:tbl>
      <w:tblPr>
        <w:tblW w:w="3848" w:type="dxa"/>
        <w:jc w:val="center"/>
        <w:tblInd w:w="5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94"/>
        <w:gridCol w:w="1814"/>
        <w:gridCol w:w="1440"/>
      </w:tblGrid>
      <w:tr>
        <w:trPr>
          <w:jc w:val="center"/>
        </w:trPr>
        <w:tc>
          <w:tcPr>
            <w:tcW w:w="594" w:type="dxa"/>
            <w:vAlign w:val="top"/>
          </w:tcPr>
          <w:p>
            <w:pPr>
              <w:jc w:val="center"/>
            </w:pPr>
            <w:r>
              <w:rPr>
                <w:rStyle w:val="5"/>
                <w:rFonts w:hint="default"/>
                <w:b/>
                <w:bCs/>
              </w:rPr>
              <w:t>（</w:t>
            </w:r>
          </w:p>
        </w:tc>
        <w:tc>
          <w:tcPr>
            <w:tcW w:w="1814" w:type="dxa"/>
            <w:vAlign w:val="top"/>
          </w:tcPr>
          <w:p>
            <w:pPr>
              <w:jc w:val="center"/>
            </w:pPr>
            <w:r>
              <w:rPr>
                <w:rStyle w:val="5"/>
                <w:rFonts w:hint="default"/>
                <w:b/>
                <w:bCs/>
              </w:rPr>
              <w:t>2016</w:t>
            </w:r>
          </w:p>
        </w:tc>
        <w:tc>
          <w:tcPr>
            <w:tcW w:w="1440" w:type="dxa"/>
            <w:vAlign w:val="top"/>
          </w:tcPr>
          <w:p>
            <w:pPr>
              <w:jc w:val="center"/>
            </w:pPr>
            <w:r>
              <w:rPr>
                <w:rStyle w:val="5"/>
                <w:rFonts w:hint="default"/>
                <w:b/>
                <w:bCs/>
              </w:rPr>
              <w:t>）年度</w:t>
            </w:r>
          </w:p>
        </w:tc>
      </w:tr>
    </w:tbl>
    <w:p>
      <w:pPr>
        <w:jc w:val="center"/>
        <w:rPr>
          <w:rStyle w:val="7"/>
          <w:b/>
          <w:bCs/>
        </w:rPr>
      </w:pPr>
    </w:p>
    <w:p>
      <w:pPr>
        <w:jc w:val="center"/>
        <w:rPr>
          <w:rStyle w:val="7"/>
        </w:rPr>
      </w:pPr>
    </w:p>
    <w:p>
      <w:pPr>
        <w:jc w:val="center"/>
        <w:rPr>
          <w:rStyle w:val="7"/>
        </w:rPr>
      </w:pPr>
    </w:p>
    <w:p>
      <w:pPr>
        <w:jc w:val="center"/>
        <w:rPr>
          <w:rStyle w:val="7"/>
        </w:rPr>
      </w:pPr>
    </w:p>
    <w:p>
      <w:pPr>
        <w:jc w:val="center"/>
        <w:rPr>
          <w:rStyle w:val="7"/>
        </w:rPr>
      </w:pPr>
    </w:p>
    <w:tbl>
      <w:tblPr>
        <w:tblW w:w="7699" w:type="dxa"/>
        <w:jc w:val="center"/>
        <w:tblInd w:w="-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405"/>
        <w:gridCol w:w="5294"/>
      </w:tblGrid>
      <w:tr>
        <w:trPr>
          <w:trHeight w:val="615" w:hRule="atLeast"/>
          <w:jc w:val="center"/>
        </w:trPr>
        <w:tc>
          <w:tcPr>
            <w:tcW w:w="2405" w:type="dxa"/>
            <w:vAlign w:val="bottom"/>
          </w:tcPr>
          <w:p>
            <w:pPr>
              <w:jc w:val="distribute"/>
            </w:pPr>
            <w:r>
              <w:rPr>
                <w:rStyle w:val="8"/>
                <w:rFonts w:hint="default"/>
                <w:b/>
                <w:bCs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rStyle w:val="9"/>
                <w:rFonts w:hint="default"/>
              </w:rPr>
              <w:t>兰州市西固区苗圃</w:t>
            </w:r>
          </w:p>
        </w:tc>
      </w:tr>
    </w:tbl>
    <w:p>
      <w:pPr>
        <w:rPr>
          <w:rFonts w:ascii="黑体" w:hAnsi="黑体" w:eastAsia="黑体"/>
          <w:b/>
          <w:bCs/>
          <w:sz w:val="24"/>
          <w:u w:val="single"/>
        </w:rPr>
      </w:pPr>
    </w:p>
    <w:tbl>
      <w:tblPr>
        <w:tblW w:w="7619" w:type="dxa"/>
        <w:jc w:val="center"/>
        <w:tblInd w:w="-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365"/>
        <w:gridCol w:w="5254"/>
      </w:tblGrid>
      <w:tr>
        <w:trPr>
          <w:trHeight w:val="615" w:hRule="atLeast"/>
          <w:jc w:val="center"/>
        </w:trPr>
        <w:tc>
          <w:tcPr>
            <w:tcW w:w="2365" w:type="dxa"/>
            <w:vAlign w:val="bottom"/>
          </w:tcPr>
          <w:p>
            <w:pPr>
              <w:jc w:val="distribute"/>
            </w:pPr>
            <w:r>
              <w:rPr>
                <w:rStyle w:val="8"/>
                <w:rFonts w:hint="default"/>
                <w:b/>
                <w:bCs/>
              </w:rPr>
              <w:t>法</w:t>
            </w:r>
            <w:r>
              <w:rPr>
                <w:rStyle w:val="8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8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723" w:firstLineChars="300"/>
        <w:rPr>
          <w:rFonts w:ascii="黑体" w:hAnsi="黑体" w:eastAsia="黑体"/>
          <w:b/>
          <w:bCs/>
          <w:sz w:val="24"/>
          <w:u w:val="single"/>
        </w:rPr>
      </w:pPr>
    </w:p>
    <w:tbl>
      <w:tblPr>
        <w:tblW w:w="7699" w:type="dxa"/>
        <w:jc w:val="center"/>
        <w:tblInd w:w="-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405"/>
        <w:gridCol w:w="5294"/>
      </w:tblGrid>
      <w:tr>
        <w:trPr>
          <w:trHeight w:val="615" w:hRule="atLeast"/>
          <w:jc w:val="center"/>
        </w:trPr>
        <w:tc>
          <w:tcPr>
            <w:tcW w:w="2405" w:type="dxa"/>
            <w:vAlign w:val="bottom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rStyle w:val="9"/>
                <w:rFonts w:hint="default"/>
                <w:b/>
                <w:bCs/>
              </w:rPr>
              <w:t xml:space="preserve"> </w:t>
            </w:r>
          </w:p>
        </w:tc>
      </w:tr>
    </w:tbl>
    <w:p>
      <w:pPr>
        <w:jc w:val="center"/>
        <w:rPr>
          <w:rFonts w:ascii="黑体" w:hAnsi="黑体" w:eastAsia="黑体"/>
          <w:b/>
          <w:bCs/>
          <w:sz w:val="30"/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rStyle w:val="9"/>
          <w:rFonts w:hint="default"/>
          <w:b/>
          <w:bCs/>
        </w:rPr>
      </w:pPr>
    </w:p>
    <w:p>
      <w:pPr>
        <w:jc w:val="center"/>
        <w:rPr>
          <w:rStyle w:val="9"/>
          <w:rFonts w:hint="default"/>
          <w:b/>
          <w:bCs/>
        </w:rPr>
      </w:pPr>
    </w:p>
    <w:p>
      <w:pPr>
        <w:jc w:val="center"/>
      </w:pPr>
      <w:r>
        <w:rPr>
          <w:rStyle w:val="9"/>
          <w:rFonts w:hint="default"/>
          <w:b/>
          <w:bCs/>
        </w:rPr>
        <w:t>国家事业单位登记管理局制</w:t>
      </w:r>
    </w:p>
    <w:p>
      <w:pPr>
        <w:rPr>
          <w:u w:val="single"/>
        </w:rPr>
      </w:pPr>
    </w:p>
    <w:tbl>
      <w:tblPr>
        <w:tblW w:w="9653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090"/>
        <w:gridCol w:w="2263"/>
        <w:gridCol w:w="1460"/>
        <w:gridCol w:w="1907"/>
        <w:gridCol w:w="1933"/>
      </w:tblGrid>
      <w:tr>
        <w:trPr>
          <w:trHeight w:val="963" w:hRule="atLeast"/>
          <w:jc w:val="center"/>
        </w:trPr>
        <w:tc>
          <w:tcPr>
            <w:tcW w:w="209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r>
              <w:rPr>
                <w:rStyle w:val="9"/>
                <w:rFonts w:hint="default"/>
                <w:b/>
                <w:bCs/>
              </w:rPr>
              <w:t xml:space="preserve">    《事业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单位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法人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证书》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登载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事项</w:t>
            </w:r>
          </w:p>
        </w:tc>
        <w:tc>
          <w:tcPr>
            <w:tcW w:w="22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单位名称</w:t>
            </w:r>
          </w:p>
        </w:tc>
        <w:tc>
          <w:tcPr>
            <w:tcW w:w="53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0"/>
                <w:rFonts w:hint="default"/>
              </w:rPr>
              <w:t>兰州市西固区苗圃</w:t>
            </w:r>
          </w:p>
        </w:tc>
      </w:tr>
      <w:tr>
        <w:trPr>
          <w:trHeight w:val="1246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宗 旨 和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业务范围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0"/>
                <w:rFonts w:hint="default"/>
              </w:rPr>
              <w:t>林木种苗生产供应。</w:t>
            </w:r>
          </w:p>
        </w:tc>
      </w:tr>
      <w:tr>
        <w:trPr>
          <w:trHeight w:val="534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住    所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0"/>
                <w:rFonts w:hint="default"/>
              </w:rPr>
              <w:t>兰州市西固区西固西路10号</w:t>
            </w:r>
          </w:p>
        </w:tc>
      </w:tr>
      <w:tr>
        <w:trPr>
          <w:trHeight w:val="534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法定代表人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0"/>
                <w:rFonts w:hint="default"/>
              </w:rPr>
              <w:t>张正君</w:t>
            </w:r>
          </w:p>
        </w:tc>
      </w:tr>
      <w:tr>
        <w:trPr>
          <w:trHeight w:val="534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开办资金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</w:pPr>
            <w:r>
              <w:rPr>
                <w:rStyle w:val="9"/>
                <w:rFonts w:hint="default"/>
              </w:rPr>
              <w:t>152.0万元</w:t>
            </w:r>
          </w:p>
        </w:tc>
      </w:tr>
      <w:tr>
        <w:trPr>
          <w:trHeight w:val="534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经费来源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0"/>
                <w:rFonts w:hint="default"/>
              </w:rPr>
              <w:t xml:space="preserve">财政补助 （全额拨款） </w:t>
            </w:r>
          </w:p>
        </w:tc>
      </w:tr>
      <w:tr>
        <w:trPr>
          <w:trHeight w:val="534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举办单位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0"/>
                <w:rFonts w:hint="default"/>
              </w:rPr>
              <w:t>兰州市西固区住房和城乡建设局</w:t>
            </w:r>
          </w:p>
        </w:tc>
      </w:tr>
      <w:tr>
        <w:trPr>
          <w:trHeight w:val="674" w:hRule="atLeast"/>
          <w:jc w:val="center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资产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损益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情况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净资产合计（所有者权益合计）</w:t>
            </w:r>
          </w:p>
        </w:tc>
      </w:tr>
      <w:tr>
        <w:trPr>
          <w:trHeight w:val="674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年初数（万元）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年末数（万元）</w:t>
            </w:r>
          </w:p>
        </w:tc>
      </w:tr>
      <w:tr>
        <w:trPr>
          <w:trHeight w:val="674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</w:rPr>
              <w:t>354.3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</w:rPr>
              <w:t>361.0</w:t>
            </w:r>
          </w:p>
        </w:tc>
      </w:tr>
      <w:tr>
        <w:trPr>
          <w:trHeight w:val="1052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网上名称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Style w:val="9"/>
                <w:rFonts w:hint="default"/>
              </w:rPr>
              <w:t>兰州市西固区苗圃.公益.cn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从业人数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</w:rPr>
              <w:t>42</w:t>
            </w:r>
          </w:p>
        </w:tc>
      </w:tr>
      <w:tr>
        <w:trPr>
          <w:trHeight w:val="4995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对《条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例》和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实施细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则有关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变更登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记规定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的执行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情 况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 xml:space="preserve">                          </w:t>
            </w:r>
          </w:p>
          <w:p>
            <w:pPr>
              <w:jc w:val="left"/>
              <w:rPr>
                <w:rStyle w:val="10"/>
                <w:rFonts w:hint="default"/>
              </w:rPr>
            </w:pPr>
          </w:p>
          <w:p>
            <w:pPr>
              <w:jc w:val="left"/>
              <w:rPr>
                <w:rStyle w:val="10"/>
                <w:rFonts w:hint="default"/>
              </w:rPr>
            </w:pPr>
          </w:p>
          <w:p>
            <w:pPr>
              <w:jc w:val="left"/>
            </w:pPr>
            <w:r>
              <w:rPr>
                <w:rStyle w:val="10"/>
                <w:rFonts w:hint="default"/>
              </w:rPr>
              <w:t xml:space="preserve">                        无</w:t>
            </w:r>
          </w:p>
        </w:tc>
      </w:tr>
      <w:tr>
        <w:trPr>
          <w:trHeight w:val="13900" w:hRule="atLeast"/>
          <w:jc w:val="center"/>
        </w:trPr>
        <w:tc>
          <w:tcPr>
            <w:tcW w:w="20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开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展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务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活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动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情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况</w:t>
            </w:r>
          </w:p>
        </w:tc>
        <w:tc>
          <w:tcPr>
            <w:tcW w:w="75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2016年度，我单位在区委区政府和住建局的正确领导下，认真贯彻《事业单位登记管理暂行条例》和《事业单位登记管理暂行条例实施细则》及有关法律、法规、政策，严格执行本单位章程，按照核准登记的宗旨和业务范围开展活动，现将履职情况公示如下：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 xml:space="preserve"> </w:t>
            </w:r>
            <w:r>
              <w:rPr>
                <w:rStyle w:val="9"/>
                <w:rFonts w:hint="default"/>
                <w:sz w:val="18"/>
                <w:szCs w:val="18"/>
              </w:rPr>
              <w:t xml:space="preserve">一、开展的主要工作：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（一）、苗木生产销售方面：今年共投资28万元引进紫薇、红叶石楠球等适合兰州生态环境生长的高品位、大规格苗木2万余株；转变苗木经营思路,通过多种渠道销售苗木，超额完成销售任务；以《甘肃省城市园林生产绿地管护标准》为标准，管理育苗地。每月分两次对职工管护的育苗地，从苗木成活情况、整形修剪、锄草、环境卫生、病虫害防治、施肥等环节进行认真检查评比，并做到责任明确、奖罚分明。通过精细化的管护，苗木生长旺盛，苗田形象明显改观。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（二）按照兰州市城市绿色生态公园的思路，对苗圃进行一次全面详细的设计和规划。兰州市园林局已批准将我圃改建为城市绿色生态公园，目前已完成生态公园的初步设计规划。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（三）、租赁户的场地清退收回工作。围绕生态公园建设，我圃加大监管力度，通过洽谈、协商，或司法调解途径，继续进行租赁户的场地清退工作。目前累计清退租赁户18户，拆除租赁户14户，拆除房屋建筑面积达7600平方米。有3户租赁户上诉西固区法院，现已判决，我单位胜诉，等待法院执行局执行。剩余租赁户将在合同到期后逐步清退，力争早日清退完成。 （四）、根据区委区政府的安排部署，单位领导带领有关工作人员参观了兰州威立雅自来水公司“水之韵”工业博览馆、兰州高压阀门厂、兰维厂及兰州真空设备厂的部分老旧工业设备，收集设备资料、图片，并积极争取资金，陆续将有意向的设备运回苗圃，为工业遗存博览园项目做好前期准备工作。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（五）、加强苗圃的安全防范工作，落实专人负责制度,做好对苗木地的防火防盗，定点定时巡查，将安全隐患消除在萌芽状态，杜绝各类安全责任事故的发生。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 xml:space="preserve"> </w:t>
            </w:r>
            <w:r>
              <w:rPr>
                <w:rStyle w:val="9"/>
                <w:rFonts w:hint="default"/>
                <w:sz w:val="18"/>
                <w:szCs w:val="18"/>
              </w:rPr>
              <w:t xml:space="preserve">二、取得的主要效益：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（一）社会效益：我圃培育的大量优质苗木，为兰州城市园林绿化做出了贡献；同时作为西固东西路以北唯一一块绿色基地，净化了空气，美化了周边环境，为广大市民提供了一处休闲娱乐场所，日益受到市民的喜爱。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（二）经济效益：今年我圃转变苗木经营思路，在经济不景气的背景下通过多种渠道销售苗木，苗木除销往本市外，还远销武威、金昌、青海等省内外地区，销售收入达到了32万元，取得了良好的经济效益。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 xml:space="preserve"> </w:t>
            </w:r>
            <w:r>
              <w:rPr>
                <w:rStyle w:val="9"/>
                <w:rFonts w:hint="default"/>
                <w:sz w:val="18"/>
                <w:szCs w:val="18"/>
              </w:rPr>
              <w:t xml:space="preserve">三、工作中存在的主要问题：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（一）、培育高档苗木花卉的技术力量薄弱，苗木品种单一，缺乏市场竞争力。我圃职工队伍不健全，专业技术人员缺乏，育苗工人严重不足。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>（二）、基础设施建设投入严重不足，灌溉用水为自来水厂的二次水，成本高，加上二次水管网老化，水源不及时，不能正常完成灌溉任务。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（三）、苗圃近几年早晨、傍晚锻炼、休闲的市民猛增，严重影响了苗木和花卉的生产管理。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 xml:space="preserve"> </w:t>
            </w:r>
            <w:r>
              <w:rPr>
                <w:rStyle w:val="9"/>
                <w:rFonts w:hint="default"/>
                <w:sz w:val="18"/>
                <w:szCs w:val="18"/>
              </w:rPr>
              <w:t xml:space="preserve">四、下一步打算： </w:t>
            </w:r>
          </w:p>
          <w:p>
            <w:pPr>
              <w:jc w:val="left"/>
              <w:rPr>
                <w:rStyle w:val="9"/>
                <w:rFonts w:hint="default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(一)、按照区委区政府的要求，今年我圃改建为生态公园的工作正在筹划阶段。单位将对圃内苗木进行规整，引进大规格观赏苗木，以适应生态公园的需要。 </w:t>
            </w:r>
          </w:p>
          <w:p>
            <w:pPr>
              <w:jc w:val="left"/>
              <w:rPr>
                <w:rFonts w:eastAsia="楷体_GB2312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</w:rPr>
              <w:t xml:space="preserve">（二）、根据规划设计的要求，投入大量资金改建基础设施，完成正常的苗木生产、管护任务。 （三）、加强管理，落实好专人负责制度，定时定点巡查，疏导人群，防火防盗，保证生产管理工作的正常运行。 </w:t>
            </w:r>
          </w:p>
        </w:tc>
      </w:tr>
      <w:tr>
        <w:trPr>
          <w:trHeight w:val="2763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相关资质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认可或执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业许可证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明文件及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有效期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 xml:space="preserve">                       </w:t>
            </w:r>
          </w:p>
          <w:p>
            <w:pPr>
              <w:jc w:val="left"/>
              <w:rPr>
                <w:rStyle w:val="10"/>
                <w:rFonts w:hint="default"/>
              </w:rPr>
            </w:pPr>
          </w:p>
          <w:p>
            <w:pPr>
              <w:jc w:val="left"/>
            </w:pPr>
            <w:r>
              <w:rPr>
                <w:rStyle w:val="10"/>
                <w:rFonts w:hint="default"/>
              </w:rPr>
              <w:t xml:space="preserve">                        无</w:t>
            </w:r>
          </w:p>
        </w:tc>
      </w:tr>
      <w:tr>
        <w:trPr>
          <w:trHeight w:val="2479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绩 效 和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受奖惩及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诉讼投诉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情 况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Style w:val="10"/>
                <w:rFonts w:hint="default"/>
              </w:rPr>
            </w:pPr>
          </w:p>
          <w:p>
            <w:pPr>
              <w:jc w:val="left"/>
              <w:rPr>
                <w:rFonts w:eastAsia="楷体_GB2312"/>
                <w:sz w:val="28"/>
              </w:rPr>
            </w:pPr>
            <w:r>
              <w:rPr>
                <w:rStyle w:val="10"/>
                <w:rFonts w:hint="default"/>
              </w:rPr>
              <w:t xml:space="preserve">                       无</w:t>
            </w:r>
          </w:p>
        </w:tc>
      </w:tr>
      <w:tr>
        <w:trPr>
          <w:trHeight w:val="2363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接受捐赠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资助及其</w:t>
            </w:r>
          </w:p>
          <w:p>
            <w:pPr>
              <w:jc w:val="center"/>
            </w:pPr>
            <w:r>
              <w:rPr>
                <w:rStyle w:val="9"/>
                <w:rFonts w:hint="default"/>
                <w:b/>
                <w:bCs/>
              </w:rPr>
              <w:t>使用情况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 xml:space="preserve">                               </w:t>
            </w:r>
          </w:p>
          <w:p>
            <w:pPr>
              <w:jc w:val="left"/>
            </w:pPr>
            <w:r>
              <w:rPr>
                <w:rStyle w:val="10"/>
                <w:rFonts w:hint="default"/>
              </w:rPr>
              <w:t xml:space="preserve">                       无</w:t>
            </w:r>
          </w:p>
        </w:tc>
      </w:tr>
      <w:tr>
        <w:trPr>
          <w:trHeight w:val="593" w:hRule="atLeast"/>
          <w:jc w:val="center"/>
        </w:trPr>
        <w:tc>
          <w:tcPr>
            <w:tcW w:w="9653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</w:pPr>
            <w:bookmarkStart w:id="0" w:name="_GoBack"/>
            <w:bookmarkEnd w:id="0"/>
            <w:r>
              <w:rPr>
                <w:rStyle w:val="10"/>
                <w:rFonts w:hint="default"/>
                <w:b/>
                <w:bCs/>
              </w:rPr>
              <w:t>填表人：薛站芬   联系电话：13919285964   报送日期：2017年3月23日</w:t>
            </w:r>
          </w:p>
        </w:tc>
      </w:tr>
    </w:tbl>
    <w:p>
      <w:pPr>
        <w:jc w:val="left"/>
        <w:rPr>
          <w:rFonts w:ascii="楷体_GB2312" w:eastAsia="楷体_GB2312"/>
          <w:b/>
          <w:bCs/>
          <w:sz w:val="18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21"/>
    <w:basedOn w:val="4"/>
    <w:uiPriority w:val="0"/>
    <w:rPr>
      <w:rFonts w:hint="eastAsia" w:ascii="Times New Roman" w:eastAsia="楷体_GB2312"/>
      <w:sz w:val="30"/>
      <w:szCs w:val="24"/>
    </w:rPr>
  </w:style>
  <w:style w:type="character" w:customStyle="1" w:styleId="6">
    <w:name w:val="font31"/>
    <w:basedOn w:val="4"/>
    <w:uiPriority w:val="0"/>
    <w:rPr>
      <w:rFonts w:hint="eastAsia" w:ascii="Times New Roman" w:hAnsi="黑体" w:eastAsia="黑体"/>
      <w:spacing w:val="40"/>
      <w:sz w:val="52"/>
      <w:szCs w:val="24"/>
    </w:rPr>
  </w:style>
  <w:style w:type="character" w:customStyle="1" w:styleId="7">
    <w:name w:val="font41"/>
    <w:basedOn w:val="4"/>
    <w:uiPriority w:val="0"/>
    <w:rPr>
      <w:rFonts w:eastAsia="楷体_GB2312"/>
      <w:spacing w:val="30"/>
      <w:sz w:val="36"/>
      <w:szCs w:val="24"/>
    </w:rPr>
  </w:style>
  <w:style w:type="character" w:customStyle="1" w:styleId="8">
    <w:name w:val="font51"/>
    <w:basedOn w:val="4"/>
    <w:uiPriority w:val="0"/>
    <w:rPr>
      <w:rFonts w:hint="eastAsia" w:ascii="黑体" w:hAnsi="黑体" w:eastAsia="黑体"/>
      <w:sz w:val="36"/>
      <w:szCs w:val="24"/>
    </w:rPr>
  </w:style>
  <w:style w:type="character" w:customStyle="1" w:styleId="9">
    <w:name w:val="font61"/>
    <w:basedOn w:val="4"/>
    <w:uiPriority w:val="0"/>
    <w:rPr>
      <w:rFonts w:hint="eastAsia" w:ascii="Times New Roman" w:eastAsia="楷体_GB2312"/>
      <w:sz w:val="32"/>
      <w:szCs w:val="24"/>
    </w:rPr>
  </w:style>
  <w:style w:type="character" w:customStyle="1" w:styleId="10">
    <w:name w:val="font71"/>
    <w:basedOn w:val="4"/>
    <w:uiPriority w:val="0"/>
    <w:rPr>
      <w:rFonts w:hint="eastAsia" w:ascii="Times New Roman" w:eastAsia="楷体_GB2312"/>
      <w:sz w:val="28"/>
      <w:szCs w:val="24"/>
    </w:rPr>
  </w:style>
  <w:style w:type="character" w:customStyle="1" w:styleId="11">
    <w:name w:val="页眉 Char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</Words>
  <Characters>1864</Characters>
  <Lines>15</Lines>
  <Paragraphs>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2017-03-25T08:10:00Z</dcterms:created>
  <dc:creator>XGMP</dc:creator>
  <cp:lastModifiedBy>admin</cp:lastModifiedBy>
  <dcterms:modified xsi:type="dcterms:W3CDTF">2017-04-06T06:35:31Z</dcterms:modified>
  <dc:title>统一社会信用代码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